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B6" w:rsidRPr="00A559B6" w:rsidRDefault="00A559B6" w:rsidP="00436BAF">
      <w:pPr>
        <w:bidi/>
        <w:spacing w:line="360" w:lineRule="auto"/>
        <w:jc w:val="center"/>
        <w:rPr>
          <w:rFonts w:ascii="Times New Roman" w:eastAsia="Times New Roman" w:hAnsi="Times New Roman"/>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A559B6">
        <w:rPr>
          <w:rFonts w:ascii="Times New Roman" w:eastAsia="Times New Roman" w:hAnsi="Times New Roman" w:hint="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بسمه تعالی</w:t>
      </w:r>
    </w:p>
    <w:p w:rsidR="005D4FBD" w:rsidRPr="00436BAF" w:rsidRDefault="00AC3E28" w:rsidP="008E14E9">
      <w:pPr>
        <w:bidi/>
        <w:spacing w:line="360" w:lineRule="auto"/>
        <w:jc w:val="center"/>
        <w:rPr>
          <w:rFonts w:ascii="Times New Roman" w:eastAsia="Times New Roman" w:hAnsi="Times New Roman" w:cs="B Jadid"/>
          <w:b/>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36BAF">
        <w:rPr>
          <w:rFonts w:ascii="Times New Roman" w:eastAsia="Times New Roman" w:hAnsi="Times New Roman" w:cs="B Jadid" w:hint="cs"/>
          <w:b/>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بررسی</w:t>
      </w:r>
      <w:r w:rsidR="005D4FBD" w:rsidRPr="00436BAF">
        <w:rPr>
          <w:rFonts w:ascii="Times New Roman" w:eastAsia="Times New Roman" w:hAnsi="Times New Roman" w:cs="B Jadid"/>
          <w:b/>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تحولات</w:t>
      </w:r>
      <w:r w:rsidR="005725C9" w:rsidRPr="005725C9">
        <w:rPr>
          <w:rFonts w:ascii="Times New Roman" w:eastAsia="Times New Roman" w:hAnsi="Times New Roman" w:hint="cs"/>
          <w:b/>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005D4FBD" w:rsidRPr="00436BAF">
        <w:rPr>
          <w:rFonts w:ascii="Times New Roman" w:eastAsia="Times New Roman" w:hAnsi="Times New Roman" w:cs="B Jadid"/>
          <w:b/>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روندها و چشم‌انداز اقتصاد ترکیه</w:t>
      </w:r>
      <w:r w:rsidR="005136B4">
        <w:rPr>
          <w:rFonts w:ascii="Times New Roman" w:eastAsia="Times New Roman" w:hAnsi="Times New Roman" w:cs="B Jadid" w:hint="cs"/>
          <w:b/>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005136B4" w:rsidRPr="005136B4">
        <w:rPr>
          <w:rFonts w:ascii="Times New Roman" w:eastAsia="Times New Roman" w:hAnsi="Times New Roman" w:hint="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008E14E9">
        <w:rPr>
          <w:rFonts w:ascii="Times New Roman" w:eastAsia="Times New Roman" w:hAnsi="Times New Roman" w:hint="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2025</w:t>
      </w:r>
      <w:bookmarkStart w:id="0" w:name="_GoBack"/>
      <w:bookmarkEnd w:id="0"/>
      <w:r w:rsidR="005136B4" w:rsidRPr="005136B4">
        <w:rPr>
          <w:rFonts w:ascii="Times New Roman" w:eastAsia="Times New Roman" w:hAnsi="Times New Roman" w:hint="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008E14E9">
        <w:rPr>
          <w:rFonts w:ascii="Times New Roman" w:eastAsia="Times New Roman" w:hAnsi="Times New Roman" w:hint="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2024</w:t>
      </w:r>
      <w:r w:rsidR="005136B4" w:rsidRPr="005136B4">
        <w:rPr>
          <w:rFonts w:ascii="Times New Roman" w:eastAsia="Times New Roman" w:hAnsi="Times New Roman" w:hint="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5725C9" w:rsidRDefault="00A559B6" w:rsidP="00A559B6">
      <w:pPr>
        <w:bidi/>
        <w:spacing w:before="100" w:beforeAutospacing="1" w:after="100" w:afterAutospacing="1" w:line="360" w:lineRule="auto"/>
        <w:jc w:val="both"/>
        <w:outlineLvl w:val="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Times New Roman" w:eastAsia="Times New Roman" w:hAnsi="Times New Roman" w:hint="cs"/>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005725C9">
        <w:rPr>
          <w:rFonts w:ascii="Times New Roman" w:eastAsia="Times New Roman" w:hAnsi="Times New Roman" w:hint="cs"/>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مقدمه:</w:t>
      </w:r>
    </w:p>
    <w:p w:rsidR="005725C9" w:rsidRPr="005725C9" w:rsidRDefault="005725C9" w:rsidP="005725C9">
      <w:p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Times New Roman" w:eastAsia="Times New Roman" w:hAnsi="Times New Roman"/>
          <w:sz w:val="28"/>
          <w:rtl/>
        </w:rPr>
        <w:tab/>
      </w:r>
      <w:r w:rsidRPr="005725C9">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اقتصاد ترکیه در سال 2024 با رشد متوسط و تورم بالا مواجه بود. تولید ناخالص داخلی افزایش یافت، اما سیاست‌های انقباضی و کاهش تقاضای داخلی رشد را محدود کرد. گردشگری و صادرات به‌ویژه به اروپا و کشورهای اسلامی به‌عنوان محرک‌های اصلی عمل کردند، در حالی که هزینه‌های بالای انرژی و کاهش ارزش لیر فشارهایی را بر اقتصاد وارد آورد. سرمایه‌گذاری خارجی کمتر از انتظار بود و کسری تجاری و حساب جاری همچنان چالش‌هایی جدی باقی ماندند. روندهایی مانند سیاست پولی متعارف، تنوع‌بخشی به منابع انرژی و رشد صنایع دفاعی نشان‌دهنده تلاش برای ثبات و خودکفایی است، اما موفقیت این اقدامات به عوامل خارجی مانند قیمت جهانی انرژی وابسته است</w:t>
      </w:r>
      <w:r w:rsidRPr="005725C9">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5725C9" w:rsidRPr="005725C9" w:rsidRDefault="005725C9" w:rsidP="005725C9">
      <w:pPr>
        <w:bidi/>
        <w:spacing w:before="100" w:beforeAutospacing="1" w:after="100" w:afterAutospacing="1" w:line="360" w:lineRule="auto"/>
        <w:jc w:val="both"/>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725C9">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چشم‌انداز سال 2025 رشد اقتصادی معتدل و کاهش نسبی تورم را پیش‌بینی می‌کند، با تکیه بر افزایش صادرات و گردشگری. فرصت‌هایی از جمله موقعیت استراتژیک، نیروی کار جوان و سرمایه‌گذاری در انرژی تجدیدپذیر پتانسیل رشد را تقویت می‌کند، اما چالش‌هایی نظیر تورم مزمن، بدهی خارجی و بیکاری جوانان مانع پیشرفت سریع هستند. ثبات سیاسی، بهبود روابط خارجی و مدیریت نوسانات ارزی برای تحقق سناریوی واقع‌بینانه ضروری است. در حالی که ریسک‌های ژئوپلیتیکی و قیمت انرژی می‌تواند مسیر را تغییر دهد، ترکیه با تکیه بر مزیت‌های ساختاری خود در تلاش برای تعادل و توسعه پایدار است. این گزارش به بررسی تحولات اخیر، روندها و چشم‌انداز اقتصاد ترکیه می‌پردازد تا درک جامعی از وضعیت کنونی و آینده آن ارائه دهد</w:t>
      </w:r>
      <w:r w:rsidRPr="005725C9">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bidi/>
        <w:spacing w:before="100" w:beforeAutospacing="1" w:after="100" w:afterAutospacing="1" w:line="360" w:lineRule="auto"/>
        <w:jc w:val="both"/>
        <w:outlineLvl w:val="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وضعیت کنونی و تحولات اخیر اقتصاد ترکیه (تا پایان 2024</w:t>
      </w:r>
      <w:r w:rsidR="00AC3E28" w:rsidRPr="00436BAF">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3"/>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رشد اقتصادی و تولید ناخالص داخلی</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وضعیت کنونی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تولید ناخالص داخلی در سال 2023 به 1 تریلیون و 24 میلیارد دلار رسید و در 2024 به 1 تریلیون و 154 میلیارد دلار افزایش یافت (داده‌های وزارت خزانه‌داری و دارایی و مؤسسه آمار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رشد واقعی در 2024 حدود 2.5 درصد بود که نسبت به 4.5 درصد در 2023 کاهش نشان می‌دهد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این کاهش به دلیل سیاست‌های انقباضی و افت تقاضای داخلی رخ داد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 تحولات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در سه‌ماهه اول 2024، رشد 5.7 درصد و در سه‌ماهه دوم 2.2 درصد بود (مؤسسه آمار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در سه‌ماهه سوم، شاخص مدیران خرید به 47.2 رسید که نشان‌دهنده انقباض نسبی است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رشد سه‌ماهه چهارم حدود 1.5 درصد تخمین زده شد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عوامل کلیدی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صادرات به اتحادیه اروپا (108.7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درآمد گردشگری (61.1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رشد را تقویت کرد، اما هزینه‌های انرژی (70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مانع شد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3"/>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تورم و ارزش لیر</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وضعیت کنونی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تورم سالانه در پایان 2024 به 48.58 درصد رسید (مؤسسه آمار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در ژانویه 2025، تورم ماهانه به 6.7 درصد جهش کرد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ارزش لیر از 32.2 لیر به ازای هر دلار در ژانویه 2024 به 34.17 لیر در دسامبر رسید و تا مارس 2025 به 35.5 لیر تثبیت شد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 تحولات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در نیمه اول 2024، تورم به 68.5 درصد رسید. افزایش نرخ بهره از 8.5 درصد به 50 درصد تورم را کاهش داد، اما کاهش به 47.5 درصد در دسامبر اثر محدودی داشت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عوامل کلیدی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قیمت جهانی نفت (79 دلار در هر بشکه</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وابستگی به واردات تورم را بالا برد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3"/>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تجارت خارجی و کسری حساب جاری</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وضعیت کنونی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صادرات در 2024 به 255.8 میلیارد دلار و واردات به 332.6 میلیارد دلار رسید که کسری تجاری را به 76.8 میلیارد دلار کاهش داد (وزارت تجارت</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کسری حساب جاری در نوامبر 2024 به 51.2 میلیارد دلار بود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 تحولات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صادرات خودرو (24.9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ماشین‌آلات (19.8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نساجی (17.5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رشد داشت. کاهش کسری به دلیل درآمد گردشگری 61.1 میلیارد دلار بود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عوامل کلیدی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رشد صادرات به اتحادیه اروپا و کشورهای اسلامی رقابت‌پذیری را افزایش داد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3"/>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سرمایه‌گذاری مستقیم خارجی</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وضعیت کنونی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سرمایه‌گذاری مستقیم خارجی در 2024 به 10.9 میلیارد دلار رسید (وزارت تجارت و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این رقم کمتر از هدف 14 میلیارد دلار و 13.3 میلیارد دلار در 2022 بود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 تحولات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سرمایه‌گذاری در املاک (4.2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تولید (3.1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انرژی (2.2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متمرکز بود. افزایش از خلیج فارس (1.5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اوکراین (0.8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ثبت شد، اما تورم (48.58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مانع شد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عوامل کلیدی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معافیت‌های مالیاتی جذابیت را حفظ کرد، اما بی‌ثباتی لیر مانع شد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5725C9" w:rsidRDefault="005725C9" w:rsidP="005725C9">
      <w:pPr>
        <w:bidi/>
        <w:spacing w:before="100" w:beforeAutospacing="1" w:after="100" w:afterAutospacing="1" w:line="360" w:lineRule="auto"/>
        <w:jc w:val="both"/>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C50E73" w:rsidRPr="00C50E73" w:rsidRDefault="00C50E73" w:rsidP="00436BAF">
      <w:pPr>
        <w:numPr>
          <w:ilvl w:val="0"/>
          <w:numId w:val="23"/>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بخش گردشگری</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وضعیت کنونی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در 2024، 52 میلیون و 630 هزار گردشگر خارجی از ترکیه بازدید کردند (وزارت فرهنگ و گردشگری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درآمد این بخش 61.1 میلیارد دلار بود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 تحولات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استانبول 18.6 میلیون نفر و آنتالیا 15.9 میلیون نفر را جذب کرد. رشد 7 درصد نسبت به 2023 داشت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عوامل کلیدی</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کاهش ارزش لیر و تبلیغات در بازارهای جدید مؤثر بود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bidi/>
        <w:spacing w:before="100" w:beforeAutospacing="1" w:after="100" w:afterAutospacing="1" w:line="360" w:lineRule="auto"/>
        <w:jc w:val="both"/>
        <w:outlineLvl w:val="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روندهای </w:t>
      </w:r>
      <w:r w:rsidR="00436BAF" w:rsidRPr="001E595A">
        <w:rPr>
          <w:rFonts w:ascii="Times New Roman" w:eastAsia="Times New Roman" w:hAnsi="Times New Roman" w:hint="cs"/>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اصلی</w:t>
      </w:r>
    </w:p>
    <w:p w:rsidR="00C50E73" w:rsidRPr="00C50E73" w:rsidRDefault="00C50E73" w:rsidP="001E595A">
      <w:pPr>
        <w:numPr>
          <w:ilvl w:val="0"/>
          <w:numId w:val="24"/>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سیاست پولی و </w:t>
      </w:r>
      <w:r w:rsidR="001E595A" w:rsidRPr="001E595A">
        <w:rPr>
          <w:rFonts w:ascii="Times New Roman" w:eastAsia="Times New Roman" w:hAnsi="Times New Roman" w:hint="cs"/>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مقابله</w:t>
      </w: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با تورم</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تغییر از سیاست‌های غیرمتعارف (کاهش نرخ بهره در تورم بالا</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به سیاست متعارف (افزایش نرخ بهره</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از مهم‌ترین تحولات دهه اخیر بود. نرخ بهره از 8.5 درصد در ژوئن 2023 به 50 درصد در مارس 2024 رسید و در دسامبر به 47.5 درصد کاهش یافت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این چرخش پس از انتصاب تیم جدید اقتصادی در ژوئن 2023 رخ داد و هدف برنامه میان‌مدت، کاهش تورم به 41.5 درصد در 2025 و 9.7 درصد در 2026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افزایش نرخ بهره، تقاضای داخلی را 12 درصد کاهش داد (مؤسسه آمار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5.3 میلیارد دلار سرمایه خارجی در نیمه اول 2024 جذب کرد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کاهش نرخ در دسامبر به دلیل فشار دولت برای تحریک رشد بود، اما جهش تورم ماهانه به 6.7 درصد در ژانویه 2025 نشان داد که این سیاست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ریسک‌هایی دارد. کنترل تورم به ثبات ذخایر ارزی (141.7 میلیارد دلار در دسامبر 2024</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وابسته است، اما افزایش قیمت غذا (67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انرژی چالش اصلی است. این روند نشان‌دهنده تلاش برای بازگرداندن اعتماد بین‌المللی است، هرچند موفقیت آن به عوامل خارجی مثل قیمت جهانی نفت بستگی دارد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4"/>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تنوع‌بخشی به انرژی</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ترکیه با وابستگی 75 درصد به واردات انرژی (55.2 میلیارد مترمکعب گاز در 2024</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در حال کاهش این وابستگی است. تولید گاز داخلی از میدان ساکاریا در دریای سیاه به 2.7 میلیون مترمکعب در روز رسید (وزارت انرژی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که گام مهمی در خودکفایی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اکتشافات دریای سیاه با پتانسیل 540 میلیارد مترمکعب، تا 2030 تنها 10-15 درصد نیاز را تأمین می‌کند (وزارت انرژی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در 2024، واردات گاز از روسیه 26.47 میلیارد مترمکعب (48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ایران 10.58 میلیارد مترمکعب (19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آذربایجان 11.81 میلیارد مترمکعب (21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بود. هزینه 70 میلیارد دلاری انرژی، فشار بر تراز پرداخت‌ها را افزایش داد. سرمایه‌گذاری در انرژی تجدیدپذیر (1.1 میلیارد یورو</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هدف تولید 30 گیگاوات تا 2030، این روند را تقویت می‌کند. این تلاش‌ها برای کاهش وابستگی به روسیه و تنوع منابع است، اما پیشرفت کند و نیاز به زیرساخت چالش‌هایی ایجاد کرده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5725C9" w:rsidRDefault="005725C9" w:rsidP="005725C9">
      <w:pPr>
        <w:bidi/>
        <w:spacing w:before="100" w:beforeAutospacing="1" w:after="100" w:afterAutospacing="1" w:line="360" w:lineRule="auto"/>
        <w:ind w:left="36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5725C9" w:rsidRDefault="005725C9" w:rsidP="005725C9">
      <w:pPr>
        <w:bidi/>
        <w:spacing w:before="100" w:beforeAutospacing="1" w:after="100" w:afterAutospacing="1" w:line="360" w:lineRule="auto"/>
        <w:ind w:left="36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5725C9" w:rsidRDefault="005725C9" w:rsidP="005725C9">
      <w:pPr>
        <w:bidi/>
        <w:spacing w:before="100" w:beforeAutospacing="1" w:after="100" w:afterAutospacing="1" w:line="360" w:lineRule="auto"/>
        <w:ind w:left="36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C50E73" w:rsidRPr="00C50E73" w:rsidRDefault="00C50E73" w:rsidP="005725C9">
      <w:pPr>
        <w:numPr>
          <w:ilvl w:val="0"/>
          <w:numId w:val="24"/>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صنایع دفاعی و صادرات</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صادرات دفاعی در 2024 به 5.6 میلیارد دلار رسید (وزارت دفاع</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به یکی از ستون‌های اقتصاد تبدیل شد. این بخش با رشد 19.1 درصد نسبت به 2023، جایگاه ترکیه را در بازار جهانی تقویت کرد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1E595A">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صادرات پهپاد (3.2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به اوکراین، لهستان و آفریقا متمرکز بود. قراردادهای جدید با قطر و پاکستان (500 میلیون دلار در نوامبر 2024</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امضا شد. تولید داخلی تجهیزات نظامی، وابستگی به واردات را 20 درصد کاهش داد (وزارت دفاع</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این روند با افزایش تنش‌های جهانی و نیاز به خودکفایی دفاعی تقویت شد و پتانسیل رسیدن به 7 میلیارد دلار در 2025 را دارد، اما رقابت با تولیدکنندگان بزرگ (مثل چین</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مانع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4"/>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نوسانات ژئوپلیتیکی</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بهبود روابط با مصر و امارات تجارت را تقویت کرد، اما تنش با غرب و درگیری‌های منطقه‌ای (سوریه و عراق</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ریسک‌هایی ایجاد کرد. این نوسانات بر جریان سرمایه و صادرات اثر گذاشت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توافق با مصر در فوریه 2024 صادرات را 15 درصد (به 4.2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افزایش داد (وزارت تجارت</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بهبود روابط با امارات سرمایه‌گذاری را 1.5 میلیارد دلار بالا برد. اما تنش با غرب به دلیل خرید سامانه موشکی از روسیه، تهدید تحریم‌های جدید را مطرح کرد که می‌تواند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FDI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را تا 20 درصد کاهش دهد (پیش‌بینی وزارت تجارت</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درگیری‌های مرزی هزینه نظامی را 5 میلیارد دلار در 2024 افزایش داد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(وزارت دفاع</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این روند نشان‌دهنده تلاش برای تعادل بین شرق و غرب است، اما بی‌ثباتی منطقه‌ای مانع اصلی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bidi/>
        <w:spacing w:before="100" w:beforeAutospacing="1" w:after="100" w:afterAutospacing="1" w:line="360" w:lineRule="auto"/>
        <w:jc w:val="both"/>
        <w:outlineLvl w:val="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چالش‌ها</w:t>
      </w:r>
    </w:p>
    <w:p w:rsidR="00C50E73" w:rsidRPr="00C50E73" w:rsidRDefault="00C50E73" w:rsidP="00436BAF">
      <w:pPr>
        <w:numPr>
          <w:ilvl w:val="0"/>
          <w:numId w:val="25"/>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تورم مزمن</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تورم قدرت خرید را کاهش داد. قیمت غذا 67 درصد و حمل‌ونقل 54 درصد افزایش یافت (مؤسسه آمار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این امر اعتراضات در شهرهای بزرگ را تشدید کرد (دسامبر 2024</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5"/>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وابستگی به واردات انرژی</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هزینه واردات انرژی 70 میلیارد دلار بود (وزارت انرژی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گاز روسیه (48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نفت عراق (35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آسیب‌پذیری را بالا برد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5"/>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بیکاری و نیروی کار جوان</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بیکاری 8.6 درصد و بیکاری جوانان 16.5 درصد بود (مؤسسه آمار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مهاجرت 510 هزار نفر در 5 سال ثبت شد (وزارت کار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1E595A" w:rsidRPr="00C50E73" w:rsidRDefault="001E595A" w:rsidP="001E595A">
      <w:p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C50E73" w:rsidRPr="00C50E73" w:rsidRDefault="00C50E73" w:rsidP="00436BAF">
      <w:pPr>
        <w:numPr>
          <w:ilvl w:val="0"/>
          <w:numId w:val="25"/>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بدهی خارجی</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بدهی خارجی 475.8 میلیارد دلار بود (بانک مرکزی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سررسید کوتاه‌مدت 132.5 میلیارد دلار در 2025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bidi/>
        <w:spacing w:before="100" w:beforeAutospacing="1" w:after="100" w:afterAutospacing="1" w:line="360" w:lineRule="auto"/>
        <w:jc w:val="both"/>
        <w:outlineLvl w:val="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فرصت‌ها</w:t>
      </w:r>
    </w:p>
    <w:p w:rsidR="00C50E73" w:rsidRPr="00C50E73" w:rsidRDefault="00C50E73" w:rsidP="00436BAF">
      <w:pPr>
        <w:numPr>
          <w:ilvl w:val="0"/>
          <w:numId w:val="26"/>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موقعیت استراتژیک</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پل اروپا و آسیا، پتانسیل لجستیک را بالا می‌برد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کانال استانبول (15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در حال توسعه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6"/>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جمعیت جوان</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49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درصد زیر 30 سال هستند (مؤسسه آمار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هزینه نیروی کار 520 دلار در ماه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6"/>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رشد صادرات</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صادرات به اتحادیه اروپا 108.7 و کشورهای اسلامی 70.1 میلیارد دلار بود (وزارت تجارت</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کاهش لیر این رشد را پشتیبانی کرد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6"/>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انرژی تجدیدپذیر</w:t>
      </w: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توضیحات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سرمایه‌گذاری 1.1 میلیارد یورویی انجام شد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ظرفیت 21 گیگاوات در 2024، هدف 30 گیگاوات تا 2030</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bidi/>
        <w:spacing w:before="100" w:beforeAutospacing="1" w:after="100" w:afterAutospacing="1" w:line="360" w:lineRule="auto"/>
        <w:jc w:val="both"/>
        <w:outlineLvl w:val="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چشم‌انداز اقتصاد ترکیه در 2025</w:t>
      </w:r>
    </w:p>
    <w:p w:rsidR="00C50E73" w:rsidRPr="00C50E73" w:rsidRDefault="00C50E73" w:rsidP="00436BAF">
      <w:pPr>
        <w:numPr>
          <w:ilvl w:val="0"/>
          <w:numId w:val="27"/>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رشد تولید ناخالص داخلی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صندوق بین‌المللی پول</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2.7 درصد</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بانک جهانی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2.6 درصد</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سازمان همکاری و توسعه اقتصادی</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2.6 درصد</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بانک مرکزی</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4 درصد</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محتمل</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3-3.5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درصد</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رشد به دلیل صادرات (پیش‌بینی 270-280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گردشگری (هدف 55-60 میلیون نفر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تقویت می‌شود. در نیمه اول 2025، رشد 3 درصد با افزایش تولید صنعتی و در نیمه دوم 3.5 درصد با فصل گردشگری محتمل است. اما تورم بالا، بدهی خارجی (475.8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کاهش سرمایه‌گذاری داخلی (10 درصد افت در 2024</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مانع رشد بالای 4 درصد است. اگر تنش‌های ژئوپلیتیکی کاهش یابد، رشد به 4 درصد نزدیک می‌شود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7"/>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تورم</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هدف</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41.5 درصد</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محتمل</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33-45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درصد</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کاهش قیمت غذا (به دلیل برداشت خوب در 2025</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سیاست‌های انقباضی (نرخ بهره بالای 45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تورم را به 33 درصد نزدیک می‌کند. اما شوک‌های ارزی (نوسان لیر به 40-43</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یا افزایش قیمت انرژی (نفت بالای 80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می‌تواند آن را به 45 درصد برساند. در سه‌ماهه اول 2025، تورم ماهانه احتمالاً 5-6 درصد باقی می‌ماند و در پایان سال به 33-35 درصد کاهش می‌یابد، مشروط به ثبات جهانی</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7"/>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نرخ ارز</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بانک مرکزی</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43.2 </w:t>
      </w:r>
      <w:r w:rsidR="005136B4">
        <w:rPr>
          <w:rFonts w:ascii="Times New Roman" w:eastAsia="Times New Roman" w:hAnsi="Times New Roman" w:hint="cs"/>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لیر</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محتمل</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38-40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لیر</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ذخایر ارزی 141.7 میلیارد دلار (دسامبر 2024</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جریان</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12-14</w:t>
      </w:r>
      <w:r w:rsidR="004C5895" w:rsidRPr="00436BAF">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004C5895"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FDI</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میلیارد دلار </w:t>
      </w:r>
      <w:r w:rsidR="004C5895" w:rsidRPr="00436BAF">
        <w:rPr>
          <w:rFonts w:ascii="Times New Roman" w:eastAsia="Times New Roman" w:hAnsi="Times New Roman" w:hint="cs"/>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لیر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را در 38-40 تثبیت می‌کند. اما کاهش ذخایر به زیر 130 میلیارد دلار یا افزایش تقاضای دلار (به دلیل بدهی 132.5 میلیارد دلاری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می‌تواند لیر را به 43-45 برساند. در صورت کاهش تنش‌ها، 38 لیر محتمل‌تر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7"/>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کسری بودجه</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3.1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درصد</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جزئیات</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کاهش هزینه‌های زلزله 2023 (20 تریلیون لیر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افزایش مالیات (10 درصد در 2024</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این هدف را ممکن می‌کند. اما هزینه‌های نظامی (5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یارانه‌های انرژی می‌تواند آن را به 3.5 درصد برساند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7"/>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بیکاری</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136B4">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9.6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درصد، </w:t>
      </w:r>
      <w:r w:rsidR="005136B4">
        <w:rPr>
          <w:rFonts w:ascii="Times New Roman" w:eastAsia="Times New Roman" w:hAnsi="Times New Roman" w:hint="cs"/>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کاهش</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به 9.2 درصد در 2026</w:t>
      </w:r>
    </w:p>
    <w:p w:rsidR="00C50E73" w:rsidRPr="00C50E73" w:rsidRDefault="00C50E73" w:rsidP="005725C9">
      <w:pPr>
        <w:numPr>
          <w:ilvl w:val="1"/>
          <w:numId w:val="23"/>
        </w:numPr>
        <w:tabs>
          <w:tab w:val="clear" w:pos="1440"/>
        </w:tabs>
        <w:bidi/>
        <w:spacing w:before="100" w:beforeAutospacing="1" w:after="100" w:afterAutospacing="1" w:line="360" w:lineRule="auto"/>
        <w:ind w:left="1080"/>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رشد در خدمات (2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ساخت‌وساز (1.5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بیکاری را کاهش می‌دهد. اما کندی صنعت (47.2 شاخص خرید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مهاجرت جوانان مانع بهبود سریع است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7"/>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سناریوها</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436BAF">
      <w:pPr>
        <w:numPr>
          <w:ilvl w:val="1"/>
          <w:numId w:val="28"/>
        </w:numPr>
        <w:bidi/>
        <w:spacing w:before="100" w:beforeAutospacing="1" w:after="100" w:afterAutospacing="1" w:line="360" w:lineRule="auto"/>
        <w:ind w:left="1440" w:hanging="360"/>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خوش‌بینانه</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تورم زیر 33 درصد، رشد 4 درصد، سرمایه‌گذاری مستقیم خارجی 15-20 میلیارد دلار، گردشگری 65 میلیارد دلار</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ثبات سیاسی، کاهش قیمت نفت (زیر 70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و جذب سرمایه از خلیج فارس (2-3 میلیارد دلار اضافی</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این سناریو را رقم می‌زند. صادرات دفاعی به 7 میلیارد دلار می‌رسد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1"/>
          <w:numId w:val="28"/>
        </w:numPr>
        <w:bidi/>
        <w:spacing w:before="100" w:beforeAutospacing="1" w:after="100" w:afterAutospacing="1" w:line="360" w:lineRule="auto"/>
        <w:ind w:left="1440" w:hanging="360"/>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واقع‌بینانه</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تورم 33-45 درصد، رشد 3-3.5 درصد، لیر 38-40، سرمایه‌گذاری مستقیم خارجی 12-14 میلیارد دلار</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1E595A">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ادامه سیاست انقباضی، تورم متوسط، و رشد صادرات (5 درصد</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محتمل‌ترین مسیر است. گردشگری به 58 میلیون نفر می‌رسد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1"/>
          <w:numId w:val="28"/>
        </w:numPr>
        <w:bidi/>
        <w:spacing w:before="100" w:beforeAutospacing="1" w:after="100" w:afterAutospacing="1" w:line="360" w:lineRule="auto"/>
        <w:ind w:left="1440" w:hanging="360"/>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بدبینانه</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تورم بالای 50 درصد، رشد زیر 2 درصد، لیر بالای 50</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جزئیات</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تنش‌های ژئوپلیتیکی (مثل اوکراین</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خروج سرمایه (5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و افزایش قیمت انرژی (نفت بالای 90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این سناریو را ایجاد می‌کند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numPr>
          <w:ilvl w:val="0"/>
          <w:numId w:val="28"/>
        </w:num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عوامل کلیدی</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p>
    <w:p w:rsidR="00C50E73" w:rsidRPr="00C50E73" w:rsidRDefault="00C50E73" w:rsidP="005725C9">
      <w:pPr>
        <w:numPr>
          <w:ilvl w:val="1"/>
          <w:numId w:val="23"/>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سیاست داخلی</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ثبات پس از انتخابات محلی 2024 و سیاست‌های تیم اقتصادی جدید</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روابط خارجی</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بهبود با خلیج فارس و کاهش تنش با غرب (کاهش 20 درصدی ریسک تحریم</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5725C9">
      <w:pPr>
        <w:numPr>
          <w:ilvl w:val="1"/>
          <w:numId w:val="23"/>
        </w:numPr>
        <w:bidi/>
        <w:spacing w:before="100" w:beforeAutospacing="1" w:after="100" w:afterAutospacing="1"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انرژی</w:t>
      </w:r>
      <w:r w:rsidR="004C5895" w:rsidRPr="005136B4">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تولید داخلی (5 میلیون مترمکعب در روز تا پایان 2025</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و قیمت جهانی نفت</w:t>
      </w:r>
      <w:r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Pr="00C50E73" w:rsidRDefault="00C50E73" w:rsidP="00436BAF">
      <w:pPr>
        <w:bidi/>
        <w:spacing w:before="100" w:beforeAutospacing="1" w:after="100" w:afterAutospacing="1" w:line="360" w:lineRule="auto"/>
        <w:jc w:val="both"/>
        <w:outlineLvl w:val="3"/>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C50E73">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جمع‌بندی</w:t>
      </w:r>
      <w:r w:rsidR="006F0ECC" w:rsidRPr="005136B4">
        <w:rPr>
          <w:rFonts w:ascii="Times New Roman" w:eastAsia="Times New Roman" w:hAnsi="Times New Roman" w:hint="cs"/>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C50E73" w:rsidRDefault="004C5895" w:rsidP="006F0ECC">
      <w:pPr>
        <w:bidi/>
        <w:spacing w:before="100" w:beforeAutospacing="1" w:after="100" w:afterAutospacing="1" w:line="276" w:lineRule="auto"/>
        <w:jc w:val="both"/>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ab/>
      </w:r>
      <w:r w:rsidR="00C50E73"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اقتصاد ترکیه در 2024 با رشد 2.5 درصد، تورم 48.58 درصد، و کسری تجاری 76.8 میلیارد دلار، ثبات نسبی داشت. روندهای کلیدی شامل سیاست متعارف، تنوع انرژی، و رشد صادرات دفاعی است که پتانسیل رشد را تقویت </w:t>
      </w:r>
      <w:r w:rsidR="00C50E73"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lastRenderedPageBreak/>
        <w:t>می‌کند. در 2025، رشد 3-3.5 درصد و تورم 33-45 درصد محتمل است، با فرصت‌هایی در گردشگری (52.63 میلیون نفر در 2024</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00C50E73"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صادرات (255.8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00C50E73"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و سرمایه‌گذاری مستقیم خارجی (10.9 میلیارد دلار</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00C50E73"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چالش‌هایی مانند تورم و بدهی خارجی همچنان باقی است، اما موقعیت استراتژیک و نیروی کار جوان مزیت‌های بلندمدت هستند. ارقام با منابع رسمی (مؤسسه آمار، بانک مرکزی، وزارت تجارت، وزارت گردشگری</w:t>
      </w:r>
      <w:r w:rsidR="00436BAF">
        <w:rPr>
          <w:rFonts w:ascii="Times New Roman" w:eastAsia="Times New Roman" w:hAnsi="Times New Roman" w:hint="cs"/>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ترکیه</w:t>
      </w:r>
      <w:r w:rsidR="00AC3E28" w:rsidRPr="00436BAF">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r w:rsidR="00C50E73" w:rsidRPr="00C50E73">
        <w:rPr>
          <w:rFonts w:ascii="Times New Roman" w:eastAsia="Times New Roman" w:hAnsi="Times New Roman"/>
          <w:b/>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 xml:space="preserve"> تأیید شده‌اند</w:t>
      </w:r>
      <w:r w:rsidR="00C50E73" w:rsidRPr="00C50E73">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w:t>
      </w:r>
    </w:p>
    <w:p w:rsidR="005136B4" w:rsidRDefault="005136B4" w:rsidP="00436BAF">
      <w:pPr>
        <w:bidi/>
        <w:spacing w:before="100" w:beforeAutospacing="1" w:after="100" w:afterAutospacing="1" w:line="360" w:lineRule="auto"/>
        <w:jc w:val="both"/>
        <w:rPr>
          <w:rFonts w:ascii="Times New Roman" w:eastAsia="Times New Roman" w:hAnsi="Times New Roman"/>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p w:rsidR="00436BAF" w:rsidRPr="00C50E73" w:rsidRDefault="00436BAF" w:rsidP="005136B4">
      <w:pPr>
        <w:bidi/>
        <w:spacing w:before="100" w:beforeAutospacing="1" w:after="100" w:afterAutospacing="1" w:line="360" w:lineRule="auto"/>
        <w:jc w:val="both"/>
        <w:rPr>
          <w:rFonts w:ascii="Times New Roman" w:eastAsia="Times New Roman" w:hAnsi="Times New Roman"/>
          <w:bCs/>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sidRPr="00436BAF">
        <w:rPr>
          <w:rFonts w:ascii="Times New Roman" w:eastAsia="Times New Roman" w:hAnsi="Times New Roman" w:hint="cs"/>
          <w:bCs/>
          <w:color w:val="000000" w:themeColor="text1"/>
          <w:sz w:val="24"/>
          <w:rtl/>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تهیه کننده: رضائیان، اداره مدیترانه</w:t>
      </w:r>
    </w:p>
    <w:p w:rsidR="00C50E73" w:rsidRPr="00436BAF" w:rsidRDefault="00C50E73" w:rsidP="00436BAF">
      <w:pPr>
        <w:bidi/>
        <w:spacing w:line="360" w:lineRule="auto"/>
        <w:jc w:val="both"/>
        <w:rPr>
          <w:rFonts w:ascii="Times New Roman" w:eastAsia="Times New Roman" w:hAnsi="Times New Roman"/>
          <w:b/>
          <w:color w:val="000000" w:themeColor="text1"/>
          <w:sz w:val="24"/>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p>
    <w:sectPr w:rsidR="00C50E73" w:rsidRPr="00436BAF" w:rsidSect="005725C9">
      <w:pgSz w:w="12240" w:h="15840"/>
      <w:pgMar w:top="1440" w:right="1260" w:bottom="1440" w:left="1440"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96C"/>
    <w:multiLevelType w:val="multilevel"/>
    <w:tmpl w:val="9788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71113"/>
    <w:multiLevelType w:val="multilevel"/>
    <w:tmpl w:val="92C2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B6E36"/>
    <w:multiLevelType w:val="multilevel"/>
    <w:tmpl w:val="C6EA78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12982"/>
    <w:multiLevelType w:val="multilevel"/>
    <w:tmpl w:val="4F8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81BE9"/>
    <w:multiLevelType w:val="multilevel"/>
    <w:tmpl w:val="E0F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86959"/>
    <w:multiLevelType w:val="multilevel"/>
    <w:tmpl w:val="A5B80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5704F"/>
    <w:multiLevelType w:val="multilevel"/>
    <w:tmpl w:val="B0E495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86713"/>
    <w:multiLevelType w:val="multilevel"/>
    <w:tmpl w:val="26620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7566C7"/>
    <w:multiLevelType w:val="multilevel"/>
    <w:tmpl w:val="412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EA11B5"/>
    <w:multiLevelType w:val="multilevel"/>
    <w:tmpl w:val="DD720D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AF306F"/>
    <w:multiLevelType w:val="multilevel"/>
    <w:tmpl w:val="825A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9343BD"/>
    <w:multiLevelType w:val="multilevel"/>
    <w:tmpl w:val="B214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CD4385"/>
    <w:multiLevelType w:val="multilevel"/>
    <w:tmpl w:val="1C9C0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30726B"/>
    <w:multiLevelType w:val="multilevel"/>
    <w:tmpl w:val="74AA1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863F51"/>
    <w:multiLevelType w:val="multilevel"/>
    <w:tmpl w:val="77C8C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182C97"/>
    <w:multiLevelType w:val="multilevel"/>
    <w:tmpl w:val="D5EA31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147691"/>
    <w:multiLevelType w:val="multilevel"/>
    <w:tmpl w:val="DBC0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2B78EE"/>
    <w:multiLevelType w:val="multilevel"/>
    <w:tmpl w:val="334A2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C5058A"/>
    <w:multiLevelType w:val="multilevel"/>
    <w:tmpl w:val="700C15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606758"/>
    <w:multiLevelType w:val="multilevel"/>
    <w:tmpl w:val="CBB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7003F7"/>
    <w:multiLevelType w:val="multilevel"/>
    <w:tmpl w:val="79AAF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77E13"/>
    <w:multiLevelType w:val="multilevel"/>
    <w:tmpl w:val="C0B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054CCE"/>
    <w:multiLevelType w:val="multilevel"/>
    <w:tmpl w:val="9EF82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505CE6"/>
    <w:multiLevelType w:val="multilevel"/>
    <w:tmpl w:val="70F4D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E4399F"/>
    <w:multiLevelType w:val="multilevel"/>
    <w:tmpl w:val="7F0A3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717DA1"/>
    <w:multiLevelType w:val="multilevel"/>
    <w:tmpl w:val="C24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5426FE"/>
    <w:multiLevelType w:val="multilevel"/>
    <w:tmpl w:val="13D4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4"/>
  </w:num>
  <w:num w:numId="4">
    <w:abstractNumId w:val="3"/>
  </w:num>
  <w:num w:numId="5">
    <w:abstractNumId w:val="21"/>
  </w:num>
  <w:num w:numId="6">
    <w:abstractNumId w:val="13"/>
  </w:num>
  <w:num w:numId="7">
    <w:abstractNumId w:val="24"/>
  </w:num>
  <w:num w:numId="8">
    <w:abstractNumId w:val="6"/>
  </w:num>
  <w:num w:numId="9">
    <w:abstractNumId w:val="14"/>
  </w:num>
  <w:num w:numId="10">
    <w:abstractNumId w:val="18"/>
  </w:num>
  <w:num w:numId="11">
    <w:abstractNumId w:val="19"/>
  </w:num>
  <w:num w:numId="12">
    <w:abstractNumId w:val="8"/>
  </w:num>
  <w:num w:numId="13">
    <w:abstractNumId w:val="11"/>
  </w:num>
  <w:num w:numId="14">
    <w:abstractNumId w:val="0"/>
  </w:num>
  <w:num w:numId="15">
    <w:abstractNumId w:val="25"/>
  </w:num>
  <w:num w:numId="16">
    <w:abstractNumId w:val="26"/>
  </w:num>
  <w:num w:numId="17">
    <w:abstractNumId w:val="12"/>
  </w:num>
  <w:num w:numId="18">
    <w:abstractNumId w:val="9"/>
  </w:num>
  <w:num w:numId="19">
    <w:abstractNumId w:val="23"/>
  </w:num>
  <w:num w:numId="20">
    <w:abstractNumId w:val="5"/>
  </w:num>
  <w:num w:numId="21">
    <w:abstractNumId w:val="22"/>
  </w:num>
  <w:num w:numId="22">
    <w:abstractNumId w:val="1"/>
  </w:num>
  <w:num w:numId="23">
    <w:abstractNumId w:val="7"/>
  </w:num>
  <w:num w:numId="24">
    <w:abstractNumId w:val="2"/>
  </w:num>
  <w:num w:numId="25">
    <w:abstractNumId w:val="15"/>
  </w:num>
  <w:num w:numId="26">
    <w:abstractNumId w:val="17"/>
  </w:num>
  <w:num w:numId="27">
    <w:abstractNumId w:val="20"/>
  </w:num>
  <w:num w:numId="28">
    <w:abstractNumId w:val="20"/>
    <w:lvlOverride w:ilvl="1">
      <w:lvl w:ilvl="1">
        <w:numFmt w:val="decimal"/>
        <w:lvlText w:val="%2."/>
        <w:lvlJc w:val="left"/>
      </w:lvl>
    </w:lvlOverride>
  </w:num>
  <w:num w:numId="29">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6E"/>
    <w:rsid w:val="001E595A"/>
    <w:rsid w:val="00436BAF"/>
    <w:rsid w:val="004C5895"/>
    <w:rsid w:val="005136B4"/>
    <w:rsid w:val="005725C9"/>
    <w:rsid w:val="005D4FBD"/>
    <w:rsid w:val="006F0ECC"/>
    <w:rsid w:val="007B3D80"/>
    <w:rsid w:val="008E14E9"/>
    <w:rsid w:val="00A559B6"/>
    <w:rsid w:val="00A75136"/>
    <w:rsid w:val="00AC3E28"/>
    <w:rsid w:val="00C50E73"/>
    <w:rsid w:val="00E97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F1E73-108E-493A-80E4-CCAA25FC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Zar"/>
        <w:sz w:val="22"/>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973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73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36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736E"/>
    <w:rPr>
      <w:rFonts w:ascii="Times New Roman" w:eastAsia="Times New Roman" w:hAnsi="Times New Roman" w:cs="Times New Roman"/>
      <w:b/>
      <w:bCs/>
      <w:sz w:val="24"/>
      <w:szCs w:val="24"/>
    </w:rPr>
  </w:style>
  <w:style w:type="character" w:styleId="Strong">
    <w:name w:val="Strong"/>
    <w:basedOn w:val="DefaultParagraphFont"/>
    <w:uiPriority w:val="22"/>
    <w:qFormat/>
    <w:rsid w:val="00E9736E"/>
    <w:rPr>
      <w:b/>
      <w:bCs/>
    </w:rPr>
  </w:style>
  <w:style w:type="paragraph" w:customStyle="1" w:styleId="break-words">
    <w:name w:val="break-words"/>
    <w:basedOn w:val="Normal"/>
    <w:rsid w:val="00E973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14100">
      <w:bodyDiv w:val="1"/>
      <w:marLeft w:val="0"/>
      <w:marRight w:val="0"/>
      <w:marTop w:val="0"/>
      <w:marBottom w:val="0"/>
      <w:divBdr>
        <w:top w:val="none" w:sz="0" w:space="0" w:color="auto"/>
        <w:left w:val="none" w:sz="0" w:space="0" w:color="auto"/>
        <w:bottom w:val="none" w:sz="0" w:space="0" w:color="auto"/>
        <w:right w:val="none" w:sz="0" w:space="0" w:color="auto"/>
      </w:divBdr>
      <w:divsChild>
        <w:div w:id="1284460287">
          <w:marLeft w:val="0"/>
          <w:marRight w:val="0"/>
          <w:marTop w:val="0"/>
          <w:marBottom w:val="0"/>
          <w:divBdr>
            <w:top w:val="none" w:sz="0" w:space="0" w:color="auto"/>
            <w:left w:val="none" w:sz="0" w:space="0" w:color="auto"/>
            <w:bottom w:val="none" w:sz="0" w:space="0" w:color="auto"/>
            <w:right w:val="none" w:sz="0" w:space="0" w:color="auto"/>
          </w:divBdr>
        </w:div>
      </w:divsChild>
    </w:div>
    <w:div w:id="614681450">
      <w:bodyDiv w:val="1"/>
      <w:marLeft w:val="0"/>
      <w:marRight w:val="0"/>
      <w:marTop w:val="0"/>
      <w:marBottom w:val="0"/>
      <w:divBdr>
        <w:top w:val="none" w:sz="0" w:space="0" w:color="auto"/>
        <w:left w:val="none" w:sz="0" w:space="0" w:color="auto"/>
        <w:bottom w:val="none" w:sz="0" w:space="0" w:color="auto"/>
        <w:right w:val="none" w:sz="0" w:space="0" w:color="auto"/>
      </w:divBdr>
      <w:divsChild>
        <w:div w:id="1700008502">
          <w:marLeft w:val="0"/>
          <w:marRight w:val="0"/>
          <w:marTop w:val="0"/>
          <w:marBottom w:val="0"/>
          <w:divBdr>
            <w:top w:val="none" w:sz="0" w:space="0" w:color="auto"/>
            <w:left w:val="none" w:sz="0" w:space="0" w:color="auto"/>
            <w:bottom w:val="none" w:sz="0" w:space="0" w:color="auto"/>
            <w:right w:val="none" w:sz="0" w:space="0" w:color="auto"/>
          </w:divBdr>
        </w:div>
      </w:divsChild>
    </w:div>
    <w:div w:id="718743721">
      <w:bodyDiv w:val="1"/>
      <w:marLeft w:val="0"/>
      <w:marRight w:val="0"/>
      <w:marTop w:val="0"/>
      <w:marBottom w:val="0"/>
      <w:divBdr>
        <w:top w:val="none" w:sz="0" w:space="0" w:color="auto"/>
        <w:left w:val="none" w:sz="0" w:space="0" w:color="auto"/>
        <w:bottom w:val="none" w:sz="0" w:space="0" w:color="auto"/>
        <w:right w:val="none" w:sz="0" w:space="0" w:color="auto"/>
      </w:divBdr>
      <w:divsChild>
        <w:div w:id="972255421">
          <w:marLeft w:val="0"/>
          <w:marRight w:val="0"/>
          <w:marTop w:val="0"/>
          <w:marBottom w:val="0"/>
          <w:divBdr>
            <w:top w:val="none" w:sz="0" w:space="0" w:color="auto"/>
            <w:left w:val="none" w:sz="0" w:space="0" w:color="auto"/>
            <w:bottom w:val="none" w:sz="0" w:space="0" w:color="auto"/>
            <w:right w:val="none" w:sz="0" w:space="0" w:color="auto"/>
          </w:divBdr>
        </w:div>
      </w:divsChild>
    </w:div>
    <w:div w:id="816610972">
      <w:bodyDiv w:val="1"/>
      <w:marLeft w:val="0"/>
      <w:marRight w:val="0"/>
      <w:marTop w:val="0"/>
      <w:marBottom w:val="0"/>
      <w:divBdr>
        <w:top w:val="none" w:sz="0" w:space="0" w:color="auto"/>
        <w:left w:val="none" w:sz="0" w:space="0" w:color="auto"/>
        <w:bottom w:val="none" w:sz="0" w:space="0" w:color="auto"/>
        <w:right w:val="none" w:sz="0" w:space="0" w:color="auto"/>
      </w:divBdr>
      <w:divsChild>
        <w:div w:id="760879891">
          <w:marLeft w:val="0"/>
          <w:marRight w:val="0"/>
          <w:marTop w:val="0"/>
          <w:marBottom w:val="0"/>
          <w:divBdr>
            <w:top w:val="none" w:sz="0" w:space="0" w:color="auto"/>
            <w:left w:val="none" w:sz="0" w:space="0" w:color="auto"/>
            <w:bottom w:val="none" w:sz="0" w:space="0" w:color="auto"/>
            <w:right w:val="none" w:sz="0" w:space="0" w:color="auto"/>
          </w:divBdr>
        </w:div>
      </w:divsChild>
    </w:div>
    <w:div w:id="1133984975">
      <w:bodyDiv w:val="1"/>
      <w:marLeft w:val="0"/>
      <w:marRight w:val="0"/>
      <w:marTop w:val="0"/>
      <w:marBottom w:val="0"/>
      <w:divBdr>
        <w:top w:val="none" w:sz="0" w:space="0" w:color="auto"/>
        <w:left w:val="none" w:sz="0" w:space="0" w:color="auto"/>
        <w:bottom w:val="none" w:sz="0" w:space="0" w:color="auto"/>
        <w:right w:val="none" w:sz="0" w:space="0" w:color="auto"/>
      </w:divBdr>
      <w:divsChild>
        <w:div w:id="112973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F7CA-6678-4930-B40C-DDABDE7E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taghi Rezaian</dc:creator>
  <cp:keywords/>
  <dc:description/>
  <cp:lastModifiedBy>mohammad taghi rezaian</cp:lastModifiedBy>
  <cp:revision>5</cp:revision>
  <dcterms:created xsi:type="dcterms:W3CDTF">2025-03-04T07:48:00Z</dcterms:created>
  <dcterms:modified xsi:type="dcterms:W3CDTF">2025-03-04T11:04:00Z</dcterms:modified>
</cp:coreProperties>
</file>